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DE" w:rsidRPr="00EE48BA" w:rsidRDefault="00BB7ADE" w:rsidP="00BB7ADE">
      <w:pPr>
        <w:spacing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48BA"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BB7ADE" w:rsidRPr="00603ADC" w:rsidRDefault="00BB7ADE" w:rsidP="00BB7ADE">
      <w:pPr>
        <w:spacing w:line="300" w:lineRule="exact"/>
        <w:jc w:val="center"/>
        <w:rPr>
          <w:rFonts w:ascii="Times New Roman" w:hAnsi="Times New Roman" w:cs="Times New Roman"/>
          <w:b/>
        </w:rPr>
      </w:pPr>
    </w:p>
    <w:p w:rsidR="00BB7ADE" w:rsidRPr="00603ADC" w:rsidRDefault="00BB7ADE" w:rsidP="00BB7ADE">
      <w:pPr>
        <w:spacing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A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B7ADE" w:rsidRPr="00603ADC" w:rsidRDefault="00BB7ADE" w:rsidP="00BB7ADE">
      <w:pPr>
        <w:spacing w:line="300" w:lineRule="exact"/>
        <w:jc w:val="center"/>
        <w:rPr>
          <w:rFonts w:ascii="Times New Roman" w:hAnsi="Times New Roman" w:cs="Times New Roman"/>
          <w:b/>
        </w:rPr>
      </w:pPr>
    </w:p>
    <w:p w:rsidR="00BB7ADE" w:rsidRDefault="00BB7ADE" w:rsidP="00BB7ADE">
      <w:pPr>
        <w:spacing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28</w:t>
      </w:r>
      <w:r w:rsidRPr="003E0067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августа</w:t>
      </w:r>
      <w:r w:rsidRPr="003E0067">
        <w:rPr>
          <w:rFonts w:ascii="Times New Roman" w:hAnsi="Times New Roman" w:cs="Times New Roman"/>
          <w:b/>
          <w:sz w:val="27"/>
          <w:szCs w:val="27"/>
        </w:rPr>
        <w:t xml:space="preserve">  2018 год</w:t>
      </w:r>
      <w:r w:rsidRPr="003E0067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п.ст.Урюм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№83</w:t>
      </w:r>
    </w:p>
    <w:p w:rsidR="00BB7ADE" w:rsidRDefault="00BB7ADE" w:rsidP="00BB7ADE">
      <w:pPr>
        <w:spacing w:line="30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7ADE" w:rsidRPr="003E0067" w:rsidRDefault="00BB7ADE" w:rsidP="00BB7ADE">
      <w:pPr>
        <w:spacing w:line="30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Порядка   формирования, ведения и обязательного опубликования перечня  имущества сельского поселения «Урюмское» свободного от прав третьих лиц (за исключением имущественных прав субъектов малого и среднего предпринимательства)</w:t>
      </w: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>
        <w:rPr>
          <w:rFonts w:ascii="Times New Roman" w:hAnsi="Times New Roman" w:cs="Times New Roman"/>
          <w:sz w:val="27"/>
          <w:szCs w:val="27"/>
        </w:rPr>
        <w:t>В соответствии  с Федеральным законом от 26.07.2006 №135-ФЗ (о защите  коррупции) п. 4,3 Плана мероприятий по реализации 2010 г.  Концепции государственной поддержки малого и среднего предпринимательства в Забайкальском крае на 2009-2013гг, утвержденным распоряжением  Правительства  Забайкальского края  от 23.03.2010г №101-р п20,ч 2,ст.46, Постановлением Правительства РФ от 01.12.2016г №1283 «О внесении изменений в постановление  Правительства РФ от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21.08.2011г №645, утверждены правила формирования, ведения и обязательного опубликования перечня  муниципального имущества свободного от прав третьих лиц предусмотренных ч.4 т.18 Федерального закона от 24.07.2007 г. №209-ФЗ, о развитии малого и среднего предпринимательства РФ, Уставом сельского поселения «Урюмское»  Совет принял решение:</w:t>
      </w: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прилагаемый Порядок формирования, ведения и обязательного опубликования перечня имущества сельского поселения «Урюмское» свободного от прав третьих лиц (за исключением имущества прав субъектов малого и среднего предпринимательства).</w:t>
      </w: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Исполнение данного решения возложить на главу сельского поселения «Урюмское».</w:t>
      </w: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Данное решение обнародовать на информационном стенде администрации.</w:t>
      </w: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Данное решение вступает в силу со дня его обнародования.</w:t>
      </w:r>
    </w:p>
    <w:p w:rsidR="00BB7ADE" w:rsidRDefault="00BB7ADE" w:rsidP="00BB7ADE">
      <w:pPr>
        <w:tabs>
          <w:tab w:val="center" w:pos="4677"/>
          <w:tab w:val="left" w:pos="8205"/>
        </w:tabs>
        <w:spacing w:line="30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BB7ADE" w:rsidRPr="00603ADC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B7ADE" w:rsidRDefault="00BB7ADE" w:rsidP="00BB7ADE">
      <w:pPr>
        <w:tabs>
          <w:tab w:val="center" w:pos="4677"/>
          <w:tab w:val="left" w:pos="8205"/>
        </w:tabs>
        <w:spacing w:after="0" w:line="3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 xml:space="preserve">Глава сельского поселения </w:t>
      </w:r>
    </w:p>
    <w:p w:rsidR="00BB7ADE" w:rsidRPr="00603ADC" w:rsidRDefault="00BB7ADE" w:rsidP="00BB7ADE">
      <w:pPr>
        <w:tabs>
          <w:tab w:val="center" w:pos="4677"/>
          <w:tab w:val="left" w:pos="8205"/>
        </w:tabs>
        <w:spacing w:line="3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603ADC">
        <w:rPr>
          <w:rFonts w:ascii="Times New Roman" w:hAnsi="Times New Roman" w:cs="Times New Roman"/>
          <w:sz w:val="27"/>
          <w:szCs w:val="27"/>
        </w:rPr>
        <w:t xml:space="preserve">«Урюмское»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Н.В.Васильев</w:t>
      </w:r>
    </w:p>
    <w:p w:rsidR="00BB7ADE" w:rsidRDefault="00BB7ADE" w:rsidP="00BB7ADE">
      <w:pPr>
        <w:spacing w:line="360" w:lineRule="auto"/>
        <w:ind w:left="5103"/>
        <w:jc w:val="right"/>
        <w:rPr>
          <w:rFonts w:ascii="Times New Roman" w:hAnsi="Times New Roman" w:cs="Times New Roman"/>
          <w:sz w:val="27"/>
          <w:szCs w:val="27"/>
        </w:rPr>
      </w:pP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692A04">
        <w:rPr>
          <w:rStyle w:val="a4"/>
          <w:color w:val="3C3C3C"/>
          <w:sz w:val="28"/>
          <w:szCs w:val="28"/>
        </w:rPr>
        <w:lastRenderedPageBreak/>
        <w:t>ПОРЯДОК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692A04">
        <w:rPr>
          <w:rStyle w:val="a4"/>
          <w:color w:val="3C3C3C"/>
          <w:sz w:val="28"/>
          <w:szCs w:val="28"/>
        </w:rPr>
        <w:t>ФОРМИРОВАНИЯ, ВЕДЕНИЯ И ОБЯЗАТЕЛЬНОГО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692A04">
        <w:rPr>
          <w:rStyle w:val="a4"/>
          <w:color w:val="3C3C3C"/>
          <w:sz w:val="28"/>
          <w:szCs w:val="28"/>
        </w:rPr>
        <w:t xml:space="preserve">ОПУБЛИКОВАНИЯ ПЕРЕЧНЯ ИМУЩЕСТВА СЕЛЬСКОГО ПОСЕЛЕНИЯ </w:t>
      </w:r>
      <w:r>
        <w:rPr>
          <w:rStyle w:val="a4"/>
          <w:color w:val="3C3C3C"/>
          <w:sz w:val="28"/>
          <w:szCs w:val="28"/>
        </w:rPr>
        <w:t>«УРЮМСКОЕ»</w:t>
      </w:r>
      <w:r w:rsidRPr="00692A04">
        <w:rPr>
          <w:rStyle w:val="a4"/>
          <w:color w:val="3C3C3C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1. </w:t>
      </w:r>
      <w:proofErr w:type="gramStart"/>
      <w:r w:rsidRPr="00692A04">
        <w:rPr>
          <w:color w:val="3C3C3C"/>
          <w:sz w:val="28"/>
          <w:szCs w:val="28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имущества сельского поселения </w:t>
      </w:r>
      <w:r>
        <w:rPr>
          <w:color w:val="3C3C3C"/>
          <w:sz w:val="28"/>
          <w:szCs w:val="28"/>
        </w:rPr>
        <w:t>«Урюмское»</w:t>
      </w:r>
      <w:r w:rsidRPr="00692A04">
        <w:rPr>
          <w:color w:val="3C3C3C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- Перечень),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имущества во владение и (или) в</w:t>
      </w:r>
      <w:proofErr w:type="gramEnd"/>
      <w:r w:rsidRPr="00692A04">
        <w:rPr>
          <w:color w:val="3C3C3C"/>
          <w:sz w:val="28"/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2. </w:t>
      </w:r>
      <w:proofErr w:type="gramStart"/>
      <w:r w:rsidRPr="00692A04">
        <w:rPr>
          <w:color w:val="3C3C3C"/>
          <w:sz w:val="28"/>
          <w:szCs w:val="28"/>
        </w:rPr>
        <w:t xml:space="preserve">Включению в Перечень подлежит имущество сельского поселения </w:t>
      </w:r>
      <w:r>
        <w:rPr>
          <w:color w:val="3C3C3C"/>
          <w:sz w:val="28"/>
          <w:szCs w:val="28"/>
        </w:rPr>
        <w:t>«Урюмское»</w:t>
      </w:r>
      <w:r w:rsidRPr="00692A04">
        <w:rPr>
          <w:color w:val="3C3C3C"/>
          <w:sz w:val="28"/>
          <w:szCs w:val="28"/>
        </w:rPr>
        <w:t>, не закрепленное на праве хозяйственного ведения или оперативного управления за муниципальными унит</w:t>
      </w:r>
      <w:r>
        <w:rPr>
          <w:color w:val="3C3C3C"/>
          <w:sz w:val="28"/>
          <w:szCs w:val="28"/>
        </w:rPr>
        <w:t xml:space="preserve">арными предприятиями </w:t>
      </w:r>
      <w:r w:rsidRPr="00692A04">
        <w:rPr>
          <w:color w:val="3C3C3C"/>
          <w:sz w:val="28"/>
          <w:szCs w:val="28"/>
        </w:rPr>
        <w:t xml:space="preserve"> муниципального района </w:t>
      </w:r>
      <w:r>
        <w:rPr>
          <w:color w:val="3C3C3C"/>
          <w:sz w:val="28"/>
          <w:szCs w:val="28"/>
        </w:rPr>
        <w:t xml:space="preserve">«Чернышевский район» </w:t>
      </w:r>
      <w:r w:rsidRPr="00692A04">
        <w:rPr>
          <w:color w:val="3C3C3C"/>
          <w:sz w:val="28"/>
          <w:szCs w:val="28"/>
        </w:rPr>
        <w:t xml:space="preserve">или на праве оперативного управления за муниципальными учреждениями сельского поселения </w:t>
      </w:r>
      <w:r>
        <w:rPr>
          <w:color w:val="3C3C3C"/>
          <w:sz w:val="28"/>
          <w:szCs w:val="28"/>
        </w:rPr>
        <w:t>«Урюмское»</w:t>
      </w:r>
      <w:r w:rsidRPr="00692A04">
        <w:rPr>
          <w:color w:val="3C3C3C"/>
          <w:sz w:val="28"/>
          <w:szCs w:val="28"/>
        </w:rPr>
        <w:t>, а также свободное от иных прав третьих лиц (за исключением имущественных прав субъектов малого и среднего предпринимательства).</w:t>
      </w:r>
      <w:proofErr w:type="gramEnd"/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3. В перечень вносятся сведения о муниципальном имуществе (далее - имущество), соответствующем следующим критериям: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б) имущество не ограничено в обороте;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в) имущество не является объектом религиозного назначения;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г) имущество не является объектом незавершенного строительства;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д) имущество не включено в прогнозный план (программу) приватизации муниципального имущества сельского поселения </w:t>
      </w:r>
      <w:r>
        <w:rPr>
          <w:color w:val="3C3C3C"/>
          <w:sz w:val="28"/>
          <w:szCs w:val="28"/>
        </w:rPr>
        <w:t>«Урюмское»;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е) имущество не признано аварийным и подлежащим сносу или реконструкции.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4. Перечень формируется администрацией сельского поселения </w:t>
      </w:r>
      <w:r>
        <w:rPr>
          <w:color w:val="3C3C3C"/>
          <w:sz w:val="28"/>
          <w:szCs w:val="28"/>
        </w:rPr>
        <w:t xml:space="preserve">«Урюмское» </w:t>
      </w:r>
      <w:r w:rsidRPr="00692A04">
        <w:rPr>
          <w:color w:val="3C3C3C"/>
          <w:sz w:val="28"/>
          <w:szCs w:val="28"/>
        </w:rPr>
        <w:t>(далее – Администрация) и утверждается Советом сельского поселения</w:t>
      </w:r>
      <w:r>
        <w:rPr>
          <w:color w:val="3C3C3C"/>
          <w:sz w:val="28"/>
          <w:szCs w:val="28"/>
        </w:rPr>
        <w:t xml:space="preserve"> «Урюмское».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lastRenderedPageBreak/>
        <w:t>5.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и подлежат утверждению Советом сельского поселения</w:t>
      </w:r>
      <w:r>
        <w:rPr>
          <w:color w:val="3C3C3C"/>
          <w:sz w:val="28"/>
          <w:szCs w:val="28"/>
        </w:rPr>
        <w:t xml:space="preserve"> «Урюмское».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6.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Закона от 24.07.2007 г. № 209-ФЗ «О развитии малого и среднего предпринимательства в Российской Федерации», а также настоящего Порядка.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7. </w:t>
      </w:r>
      <w:proofErr w:type="gramStart"/>
      <w:r w:rsidRPr="00692A04">
        <w:rPr>
          <w:color w:val="3C3C3C"/>
          <w:sz w:val="28"/>
          <w:szCs w:val="28"/>
        </w:rPr>
        <w:t>При включении в Перечень имущества, арендуемого субъектом МСП, рекомендуется получать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692A04">
        <w:rPr>
          <w:color w:val="3C3C3C"/>
          <w:sz w:val="28"/>
          <w:szCs w:val="28"/>
        </w:rPr>
        <w:t xml:space="preserve"> </w:t>
      </w:r>
      <w:proofErr w:type="gramStart"/>
      <w:r w:rsidRPr="00692A04">
        <w:rPr>
          <w:color w:val="3C3C3C"/>
          <w:sz w:val="28"/>
          <w:szCs w:val="28"/>
        </w:rPr>
        <w:t>внесении</w:t>
      </w:r>
      <w:proofErr w:type="gramEnd"/>
      <w:r w:rsidRPr="00692A04">
        <w:rPr>
          <w:color w:val="3C3C3C"/>
          <w:sz w:val="28"/>
          <w:szCs w:val="28"/>
        </w:rPr>
        <w:t xml:space="preserve">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8. Не рекомендуется включать в Перечень: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а) имущество, непригодное к использованию, в том числе объекты недвижимого имущества, находящиеся в аварийном и руинированном состоянии;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б) движимое имущество, срок службы которого составляет заведомо менее пяти лет – минимального срока заключения договора с субъектом МСП;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в) движимое имущество, не обладающее индивидуально-определенными признаками, позволяющими заключить в отношении него договор аренды или иной гражданско-правовой договор;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г) недвижимое имущество, относящееся к жилищному фонду;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д) имущество, арендуемое субъектом МСП, в отношении которого арендатор направил возражения на включение в Перечень в ответ на предложение Администрации.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9. Ведение Перечня включает в себя ведение информационной базы, содержащей сведения о: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lastRenderedPageBreak/>
        <w:t xml:space="preserve">а) </w:t>
      </w:r>
      <w:proofErr w:type="gramStart"/>
      <w:r w:rsidRPr="00692A04">
        <w:rPr>
          <w:color w:val="3C3C3C"/>
          <w:sz w:val="28"/>
          <w:szCs w:val="28"/>
        </w:rPr>
        <w:t>имуществе</w:t>
      </w:r>
      <w:proofErr w:type="gramEnd"/>
      <w:r w:rsidRPr="00692A04">
        <w:rPr>
          <w:color w:val="3C3C3C"/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б) </w:t>
      </w:r>
      <w:proofErr w:type="gramStart"/>
      <w:r w:rsidRPr="00692A04">
        <w:rPr>
          <w:color w:val="3C3C3C"/>
          <w:sz w:val="28"/>
          <w:szCs w:val="28"/>
        </w:rPr>
        <w:t>проведении</w:t>
      </w:r>
      <w:proofErr w:type="gramEnd"/>
      <w:r w:rsidRPr="00692A04">
        <w:rPr>
          <w:color w:val="3C3C3C"/>
          <w:sz w:val="28"/>
          <w:szCs w:val="28"/>
        </w:rPr>
        <w:t xml:space="preserve"> торгов на право заключения договоров аренды;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в) </w:t>
      </w:r>
      <w:proofErr w:type="gramStart"/>
      <w:r w:rsidRPr="00692A04">
        <w:rPr>
          <w:color w:val="3C3C3C"/>
          <w:sz w:val="28"/>
          <w:szCs w:val="28"/>
        </w:rPr>
        <w:t>результатах</w:t>
      </w:r>
      <w:proofErr w:type="gramEnd"/>
      <w:r w:rsidRPr="00692A04">
        <w:rPr>
          <w:color w:val="3C3C3C"/>
          <w:sz w:val="28"/>
          <w:szCs w:val="28"/>
        </w:rPr>
        <w:t xml:space="preserve"> проведения торгов;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г) заключенных договорах аренды;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д) </w:t>
      </w:r>
      <w:proofErr w:type="gramStart"/>
      <w:r w:rsidRPr="00692A04">
        <w:rPr>
          <w:color w:val="3C3C3C"/>
          <w:sz w:val="28"/>
          <w:szCs w:val="28"/>
        </w:rPr>
        <w:t>субъектах</w:t>
      </w:r>
      <w:proofErr w:type="gramEnd"/>
      <w:r w:rsidRPr="00692A04">
        <w:rPr>
          <w:color w:val="3C3C3C"/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10. Ведение Перечня осуществляется на бумажном и электронном носителях. Информационная база подлежит размещению на официальном сайте Крапивновского сельского поселения в сети Интернет.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11. Предложения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для внесения изменений и дополнений в Перечень, рассматриваются Администрацией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а) о включении сведений об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б) об исключении сведений об имуществе, в отношении которого поступило предложение, из перечня с учетом положений пунктов 6 и 7 настоящего Порядка;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в) об отказе в учете предложения.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В случае принятия решения об отказе в учете предложения, указанного в пункте 11 настоящего Порядка, администрация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12. Имущество подлежит исключению,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>13. Перечень и внесенные в него изменения подлежат: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а) обязательному обнародованию на информационном стенде в администрации сельского поселения </w:t>
      </w:r>
      <w:r>
        <w:rPr>
          <w:color w:val="3C3C3C"/>
          <w:sz w:val="28"/>
          <w:szCs w:val="28"/>
        </w:rPr>
        <w:t xml:space="preserve">«Урюмское» </w:t>
      </w:r>
      <w:r w:rsidRPr="00692A04">
        <w:rPr>
          <w:color w:val="3C3C3C"/>
          <w:sz w:val="28"/>
          <w:szCs w:val="28"/>
        </w:rPr>
        <w:t>– в течение 10 рабочих дней со дня утверждения;</w:t>
      </w:r>
    </w:p>
    <w:p w:rsidR="00BB7ADE" w:rsidRPr="00692A04" w:rsidRDefault="00BB7ADE" w:rsidP="00BB7ADE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692A04">
        <w:rPr>
          <w:color w:val="3C3C3C"/>
          <w:sz w:val="28"/>
          <w:szCs w:val="28"/>
        </w:rPr>
        <w:t xml:space="preserve">б) размещению на официальном сайте администрации сельского поселения </w:t>
      </w:r>
      <w:r>
        <w:rPr>
          <w:color w:val="3C3C3C"/>
          <w:sz w:val="28"/>
          <w:szCs w:val="28"/>
        </w:rPr>
        <w:t xml:space="preserve">«Урюмское» </w:t>
      </w:r>
      <w:r w:rsidRPr="00692A04">
        <w:rPr>
          <w:color w:val="3C3C3C"/>
          <w:sz w:val="28"/>
          <w:szCs w:val="28"/>
        </w:rPr>
        <w:t>- в течение 3 рабочих дней со дня утверждения.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7ADE"/>
    <w:rsid w:val="00AA3C6D"/>
    <w:rsid w:val="00BB7ADE"/>
    <w:rsid w:val="00C070C0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2018-12-11T00:44:00Z</dcterms:created>
  <dcterms:modified xsi:type="dcterms:W3CDTF">2018-12-11T00:44:00Z</dcterms:modified>
</cp:coreProperties>
</file>